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2E42" w14:textId="77777777" w:rsidR="00CD59F8" w:rsidRPr="00CD59F8" w:rsidRDefault="00CD59F8" w:rsidP="00CD59F8">
      <w:pPr>
        <w:spacing w:after="0" w:line="240" w:lineRule="auto"/>
        <w:jc w:val="center"/>
        <w:rPr>
          <w:rFonts w:ascii="Times New Roman" w:eastAsia="Times New Roman" w:hAnsi="Times New Roman" w:cs="Times New Roman"/>
          <w:kern w:val="2"/>
          <w:sz w:val="20"/>
          <w:szCs w:val="20"/>
          <w:lang w:val="kk-KZ" w:eastAsia="ru-RU"/>
          <w14:ligatures w14:val="standardContextual"/>
        </w:rPr>
      </w:pPr>
      <w:r w:rsidRPr="00CD59F8">
        <w:rPr>
          <w:rFonts w:ascii="Times New Roman" w:hAnsi="Times New Roman" w:cs="Times New Roman"/>
          <w:sz w:val="40"/>
          <w:szCs w:val="40"/>
          <w:highlight w:val="green"/>
          <w:lang w:val="kk-KZ"/>
        </w:rPr>
        <w:t>9 Дәріс</w:t>
      </w:r>
      <w:r w:rsidRPr="00CD59F8">
        <w:rPr>
          <w:rFonts w:ascii="Times New Roman" w:hAnsi="Times New Roman" w:cs="Times New Roman"/>
          <w:sz w:val="40"/>
          <w:szCs w:val="40"/>
          <w:lang w:val="kk-KZ"/>
        </w:rPr>
        <w:t xml:space="preserve"> -</w:t>
      </w:r>
      <w:r w:rsidRPr="00CD59F8">
        <w:rPr>
          <w:rFonts w:ascii="Times New Roman" w:hAnsi="Times New Roman" w:cs="Times New Roman"/>
          <w:bCs/>
          <w:color w:val="000000" w:themeColor="text1"/>
          <w:sz w:val="40"/>
          <w:szCs w:val="40"/>
          <w:lang w:val="kk-KZ"/>
        </w:rPr>
        <w:t xml:space="preserve"> </w:t>
      </w:r>
      <w:r w:rsidRPr="00CD59F8">
        <w:rPr>
          <w:rFonts w:ascii="Times New Roman" w:hAnsi="Times New Roman" w:cs="Times New Roman"/>
          <w:bCs/>
          <w:color w:val="FF0000"/>
          <w:sz w:val="40"/>
          <w:szCs w:val="40"/>
          <w:lang w:val="kk-KZ"/>
        </w:rPr>
        <w:t>М</w:t>
      </w:r>
      <w:r w:rsidRPr="00CD59F8">
        <w:rPr>
          <w:rFonts w:ascii="Times New Roman" w:eastAsiaTheme="minorEastAsia" w:hAnsi="Times New Roman" w:cs="Times New Roman"/>
          <w:bCs/>
          <w:color w:val="FF0000"/>
          <w:sz w:val="40"/>
          <w:szCs w:val="40"/>
          <w:lang w:val="kk-KZ" w:eastAsia="ru-RU"/>
        </w:rPr>
        <w:t>емлекеттік</w:t>
      </w:r>
      <w:r w:rsidRPr="00CD59F8">
        <w:rPr>
          <w:rFonts w:ascii="Times New Roman" w:eastAsiaTheme="minorEastAsia" w:hAnsi="Times New Roman" w:cs="Times New Roman"/>
          <w:color w:val="FF0000"/>
          <w:sz w:val="40"/>
          <w:szCs w:val="40"/>
          <w:lang w:val="kk-KZ" w:eastAsia="ru-RU"/>
        </w:rPr>
        <w:t xml:space="preserve"> шешім қабылдау және атқарылу үрдісін цифрландыру</w:t>
      </w:r>
      <w:r w:rsidRPr="00CD59F8">
        <w:rPr>
          <w:rFonts w:ascii="Times New Roman" w:hAnsi="Times New Roman" w:cs="Times New Roman"/>
          <w:sz w:val="20"/>
          <w:szCs w:val="20"/>
          <w:lang w:val="kk-KZ"/>
        </w:rPr>
        <w:t xml:space="preserve"> </w:t>
      </w:r>
    </w:p>
    <w:p w14:paraId="284B68CE" w14:textId="77777777" w:rsidR="00CD59F8" w:rsidRPr="00CD59F8" w:rsidRDefault="00CD59F8" w:rsidP="00CD59F8">
      <w:pPr>
        <w:spacing w:line="256" w:lineRule="auto"/>
        <w:rPr>
          <w:rFonts w:ascii="Times New Roman" w:hAnsi="Times New Roman" w:cs="Times New Roman"/>
          <w:color w:val="FF0000"/>
          <w:sz w:val="40"/>
          <w:szCs w:val="40"/>
          <w:lang w:val="kk-KZ"/>
        </w:rPr>
      </w:pPr>
    </w:p>
    <w:p w14:paraId="70005D9B" w14:textId="77777777" w:rsidR="00CD59F8" w:rsidRPr="00CD59F8" w:rsidRDefault="00CD59F8" w:rsidP="00CD59F8">
      <w:pPr>
        <w:spacing w:line="256" w:lineRule="auto"/>
        <w:rPr>
          <w:rFonts w:ascii="Times New Roman" w:hAnsi="Times New Roman" w:cs="Times New Roman"/>
          <w:color w:val="0070C0"/>
          <w:sz w:val="40"/>
          <w:szCs w:val="40"/>
          <w:lang w:val="kk-KZ"/>
        </w:rPr>
      </w:pPr>
      <w:r w:rsidRPr="00CD59F8">
        <w:rPr>
          <w:rFonts w:ascii="Times New Roman" w:hAnsi="Times New Roman" w:cs="Times New Roman"/>
          <w:color w:val="0070C0"/>
          <w:sz w:val="40"/>
          <w:szCs w:val="40"/>
          <w:lang w:val="kk-KZ"/>
        </w:rPr>
        <w:t>Сұрақтар:</w:t>
      </w:r>
    </w:p>
    <w:p w14:paraId="5913FB0B" w14:textId="77777777" w:rsidR="00CD59F8" w:rsidRPr="00CD59F8" w:rsidRDefault="00CD59F8" w:rsidP="00CD59F8">
      <w:pPr>
        <w:spacing w:line="256" w:lineRule="auto"/>
        <w:rPr>
          <w:rFonts w:ascii="Times New Roman" w:hAnsi="Times New Roman" w:cs="Times New Roman"/>
          <w:sz w:val="40"/>
          <w:szCs w:val="40"/>
          <w:lang w:val="kk-KZ"/>
        </w:rPr>
      </w:pPr>
      <w:r w:rsidRPr="00CD59F8">
        <w:rPr>
          <w:rFonts w:ascii="Times New Roman" w:hAnsi="Times New Roman" w:cs="Times New Roman"/>
          <w:sz w:val="40"/>
          <w:szCs w:val="40"/>
          <w:lang w:val="kk-KZ"/>
        </w:rPr>
        <w:t>1.</w:t>
      </w:r>
      <w:r w:rsidRPr="00CD59F8">
        <w:rPr>
          <w:rFonts w:ascii="Times New Roman" w:hAnsi="Times New Roman" w:cs="Times New Roman"/>
          <w:bCs/>
          <w:color w:val="000000" w:themeColor="text1"/>
          <w:sz w:val="40"/>
          <w:szCs w:val="40"/>
          <w:lang w:val="kk-KZ"/>
        </w:rPr>
        <w:t xml:space="preserve"> </w:t>
      </w:r>
      <w:r w:rsidRPr="00CD59F8">
        <w:rPr>
          <w:rFonts w:ascii="Times New Roman" w:hAnsi="Times New Roman" w:cs="Times New Roman"/>
          <w:bCs/>
          <w:color w:val="FF0000"/>
          <w:sz w:val="40"/>
          <w:szCs w:val="40"/>
          <w:lang w:val="kk-KZ"/>
        </w:rPr>
        <w:t>М</w:t>
      </w:r>
      <w:r w:rsidRPr="00CD59F8">
        <w:rPr>
          <w:rFonts w:ascii="Times New Roman" w:eastAsiaTheme="minorEastAsia" w:hAnsi="Times New Roman" w:cs="Times New Roman"/>
          <w:bCs/>
          <w:color w:val="FF0000"/>
          <w:sz w:val="40"/>
          <w:szCs w:val="40"/>
          <w:lang w:val="kk-KZ" w:eastAsia="ru-RU"/>
        </w:rPr>
        <w:t>емлекеттік</w:t>
      </w:r>
      <w:r w:rsidRPr="00CD59F8">
        <w:rPr>
          <w:rFonts w:ascii="Times New Roman" w:eastAsiaTheme="minorEastAsia" w:hAnsi="Times New Roman" w:cs="Times New Roman"/>
          <w:color w:val="FF0000"/>
          <w:sz w:val="40"/>
          <w:szCs w:val="40"/>
          <w:lang w:val="kk-KZ" w:eastAsia="ru-RU"/>
        </w:rPr>
        <w:t xml:space="preserve"> шешім қабылдау және атқарылу үрдісін цифрландыру</w:t>
      </w:r>
    </w:p>
    <w:p w14:paraId="6E92B906" w14:textId="77777777" w:rsidR="00CD59F8" w:rsidRPr="00CD59F8" w:rsidRDefault="00CD59F8" w:rsidP="00CD59F8">
      <w:pPr>
        <w:spacing w:line="256" w:lineRule="auto"/>
        <w:rPr>
          <w:rFonts w:ascii="Times New Roman" w:hAnsi="Times New Roman" w:cs="Times New Roman"/>
          <w:sz w:val="40"/>
          <w:szCs w:val="40"/>
          <w:lang w:val="kk-KZ"/>
        </w:rPr>
      </w:pPr>
      <w:r w:rsidRPr="00CD59F8">
        <w:rPr>
          <w:rFonts w:ascii="Times New Roman" w:hAnsi="Times New Roman" w:cs="Times New Roman"/>
          <w:sz w:val="40"/>
          <w:szCs w:val="40"/>
          <w:lang w:val="kk-KZ"/>
        </w:rPr>
        <w:t>2.</w:t>
      </w:r>
      <w:r w:rsidRPr="00CD59F8">
        <w:rPr>
          <w:rFonts w:ascii="Times New Roman" w:hAnsi="Times New Roman" w:cs="Times New Roman"/>
          <w:bCs/>
          <w:color w:val="000000" w:themeColor="text1"/>
          <w:sz w:val="40"/>
          <w:szCs w:val="40"/>
          <w:lang w:val="kk-KZ"/>
        </w:rPr>
        <w:t xml:space="preserve"> </w:t>
      </w:r>
      <w:r w:rsidRPr="00CD59F8">
        <w:rPr>
          <w:rFonts w:ascii="Times New Roman" w:eastAsiaTheme="minorEastAsia" w:hAnsi="Times New Roman" w:cs="Times New Roman"/>
          <w:color w:val="FF0000"/>
          <w:sz w:val="40"/>
          <w:szCs w:val="40"/>
          <w:lang w:val="kk-KZ" w:eastAsia="ru-RU"/>
        </w:rPr>
        <w:t>Шешім қабылдау және атқарылу үрдісін цифрландыру</w:t>
      </w:r>
      <w:r w:rsidRPr="00CD59F8">
        <w:rPr>
          <w:rFonts w:ascii="Times New Roman" w:eastAsiaTheme="minorEastAsia" w:hAnsi="Times New Roman" w:cs="Times New Roman"/>
          <w:sz w:val="40"/>
          <w:szCs w:val="40"/>
          <w:lang w:val="kk-KZ" w:eastAsia="ru-RU"/>
        </w:rPr>
        <w:t xml:space="preserve"> </w:t>
      </w:r>
      <w:r w:rsidRPr="00CD59F8">
        <w:rPr>
          <w:rFonts w:ascii="Times New Roman" w:eastAsiaTheme="minorEastAsia" w:hAnsi="Times New Roman" w:cs="Times New Roman"/>
          <w:color w:val="FF0000"/>
          <w:sz w:val="40"/>
          <w:szCs w:val="40"/>
          <w:lang w:val="kk-KZ" w:eastAsia="ru-RU"/>
        </w:rPr>
        <w:t>тиімділігі</w:t>
      </w:r>
    </w:p>
    <w:p w14:paraId="0DD107D4" w14:textId="77777777" w:rsidR="00CD59F8" w:rsidRPr="00CD59F8" w:rsidRDefault="00CD59F8" w:rsidP="00CD59F8">
      <w:pPr>
        <w:spacing w:line="256" w:lineRule="auto"/>
        <w:rPr>
          <w:rFonts w:ascii="Times New Roman" w:hAnsi="Times New Roman" w:cs="Times New Roman"/>
          <w:color w:val="0070C0"/>
          <w:sz w:val="24"/>
          <w:szCs w:val="24"/>
          <w:lang w:val="kk-KZ"/>
        </w:rPr>
      </w:pPr>
      <w:r w:rsidRPr="00CD59F8">
        <w:rPr>
          <w:rFonts w:ascii="Times New Roman" w:hAnsi="Times New Roman" w:cs="Times New Roman"/>
          <w:sz w:val="24"/>
          <w:szCs w:val="24"/>
          <w:highlight w:val="green"/>
          <w:lang w:val="kk-KZ"/>
        </w:rPr>
        <w:t>Дәріс мақсаты</w:t>
      </w:r>
      <w:r w:rsidRPr="00CD59F8">
        <w:rPr>
          <w:rFonts w:ascii="Times New Roman" w:hAnsi="Times New Roman" w:cs="Times New Roman"/>
          <w:sz w:val="24"/>
          <w:szCs w:val="24"/>
          <w:lang w:val="kk-KZ"/>
        </w:rPr>
        <w:t>-</w:t>
      </w:r>
      <w:r w:rsidRPr="00CD59F8">
        <w:rPr>
          <w:rFonts w:ascii="Times New Roman" w:hAnsi="Times New Roman" w:cs="Times New Roman"/>
          <w:bCs/>
          <w:color w:val="000000" w:themeColor="text1"/>
          <w:sz w:val="24"/>
          <w:szCs w:val="24"/>
          <w:lang w:val="kk-KZ"/>
        </w:rPr>
        <w:t xml:space="preserve"> </w:t>
      </w:r>
      <w:r w:rsidRPr="00CD59F8">
        <w:rPr>
          <w:rFonts w:ascii="Times New Roman" w:hAnsi="Times New Roman" w:cs="Times New Roman"/>
          <w:bCs/>
          <w:color w:val="0070C0"/>
          <w:sz w:val="24"/>
          <w:szCs w:val="24"/>
          <w:lang w:val="kk-KZ"/>
        </w:rPr>
        <w:t>студенттерге м</w:t>
      </w:r>
      <w:r w:rsidRPr="00CD59F8">
        <w:rPr>
          <w:rFonts w:ascii="Times New Roman" w:eastAsiaTheme="minorEastAsia" w:hAnsi="Times New Roman" w:cs="Times New Roman"/>
          <w:bCs/>
          <w:color w:val="0070C0"/>
          <w:sz w:val="24"/>
          <w:szCs w:val="24"/>
          <w:lang w:val="kk-KZ" w:eastAsia="ru-RU"/>
        </w:rPr>
        <w:t>емлекеттік</w:t>
      </w:r>
      <w:r w:rsidRPr="00CD59F8">
        <w:rPr>
          <w:rFonts w:ascii="Times New Roman" w:eastAsiaTheme="minorEastAsia" w:hAnsi="Times New Roman" w:cs="Times New Roman"/>
          <w:color w:val="0070C0"/>
          <w:sz w:val="24"/>
          <w:szCs w:val="24"/>
          <w:lang w:val="kk-KZ" w:eastAsia="ru-RU"/>
        </w:rPr>
        <w:t xml:space="preserve"> шешім қабылдау және атқарылу үрдісін цифрландыруды  жүйелі түсіндіру</w:t>
      </w:r>
    </w:p>
    <w:p w14:paraId="2726122E" w14:textId="77777777" w:rsidR="00CD59F8" w:rsidRPr="00CD59F8" w:rsidRDefault="00CD59F8" w:rsidP="00CD59F8">
      <w:pPr>
        <w:spacing w:line="256" w:lineRule="auto"/>
        <w:jc w:val="both"/>
        <w:rPr>
          <w:rFonts w:ascii="Times New Roman" w:hAnsi="Times New Roman" w:cs="Times New Roman"/>
          <w:sz w:val="28"/>
          <w:szCs w:val="28"/>
          <w:lang w:val="kk-KZ"/>
        </w:rPr>
      </w:pPr>
      <w:bookmarkStart w:id="0" w:name="_Hlk155540092"/>
      <w:r w:rsidRPr="00CD59F8">
        <w:rPr>
          <w:rFonts w:ascii="Times New Roman" w:hAnsi="Times New Roman" w:cs="Times New Roman"/>
          <w:sz w:val="28"/>
          <w:szCs w:val="28"/>
          <w:lang w:val="kk-KZ"/>
        </w:rPr>
        <w:t>Әлеуметтік-экономикалық даму – цифрландыру процесі. Тар, техникалық мағынада цифрландыру екілік код негізінде ақпаратты аналогтық формадан цифрлық түрге ауыстыру болып табылады. Бұл көлем мен жылдамдықты күрт арттыруға ғана емес мүмкіндік береді берілетін ақпарат, бірақ бір ортадан екіншісіне ауысқанда (мысалы, 3D басып шығару) бұрмаланбай, абсолютті дәлдікпен сигналды беру және жаңғырту мүмкіндігін қамтамасыз етеді.</w:t>
      </w:r>
    </w:p>
    <w:p w14:paraId="7A943118"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Ақпаратты көрсету, сақтау және беру үшін әртүрлі физикалық принциптерді пайдалануға мүмкіндік береді, оның жазу тығыздығын және беру жылдамдығын айтарлықтай арттырады. Ал бұл, өз кезегінде, жаңалық ашады цифрлық технологияларды барлық жаңаға тарату перспективалары өнеркәсіп</w:t>
      </w:r>
    </w:p>
    <w:p w14:paraId="222C6360"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Бұдан мынадай қорытынды жасауға болады: ақпараттық технологиялар, әдетте, жеке, жеке мәселелерді шешу үшін қолданылады, ал цифрлық технологиялар күрделі мәселелерді шешуге мүмкіндік береді? экономикалық, әлеуметтік, мемлекеттік құқықтық және басқа салалардағы аса күрделі міндеттер.</w:t>
      </w:r>
    </w:p>
    <w:p w14:paraId="1BED24E1"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Экономика цифрландырудың әсерін алғашқылардың бірі болып сезінді. Электрондық коммерция, смарт келісімшарттар, таратылған тізілім технологиялары (блокчейн), криптовалюталар, жасанды</w:t>
      </w:r>
    </w:p>
    <w:p w14:paraId="73AC9EC2"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интеллект бүгінгі күні шындыққа айналған цифрлық технологиялардың толық тізбесі емес, «ақпаратты іздеуге арналған транзакциялық шығындарды түбегейлі қысқартуға және соның салдарынан экономикалық қатынастардан алып тастаудың сөзсіздігіне әкелді, делдалдар және тұтынушылардың тікелей өзара әрекетін қалыптастыру және жеткізуші»</w:t>
      </w:r>
    </w:p>
    <w:p w14:paraId="40535C35"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lastRenderedPageBreak/>
        <w:t>Қазіргі уақытта цифрлық технологиялық (онлайн) платформалар, үлкен деректер, кеңейтілген және виртуалды шындық, жеке процестер мен кәсіптерді роботтандыру және т.б. осы технологиялармен қатар қоғамдық және мемлекеттік өмірдің экономикалық және басқа да салаларында одан әрі дамуда.</w:t>
      </w:r>
    </w:p>
    <w:p w14:paraId="59052E1A" w14:textId="77777777" w:rsidR="00CD59F8" w:rsidRPr="00CD59F8" w:rsidRDefault="00CD59F8" w:rsidP="00CD59F8">
      <w:pPr>
        <w:spacing w:line="256" w:lineRule="auto"/>
        <w:jc w:val="both"/>
        <w:rPr>
          <w:rFonts w:ascii="Times New Roman" w:hAnsi="Times New Roman" w:cs="Times New Roman"/>
          <w:i/>
          <w:iCs/>
          <w:sz w:val="28"/>
          <w:szCs w:val="28"/>
          <w:lang w:val="kk-KZ"/>
        </w:rPr>
      </w:pPr>
      <w:r w:rsidRPr="00CD59F8">
        <w:rPr>
          <w:rFonts w:ascii="Times New Roman" w:hAnsi="Times New Roman" w:cs="Times New Roman"/>
          <w:i/>
          <w:iCs/>
          <w:sz w:val="28"/>
          <w:szCs w:val="28"/>
          <w:lang w:val="kk-KZ"/>
        </w:rPr>
        <w:t>Кең мағынада цифрландыруды сандық технологияларды әртүрлі салаларда қолдану процесі ретінде қарастыруға болады. Цифрландырудың нәтижесі мемлекет пен қоғам өмірінің барлық аспектілерінің өзгеруі, яғни цифрлық трансформация болуы тиіс, ол</w:t>
      </w:r>
    </w:p>
    <w:p w14:paraId="36C674E9" w14:textId="77777777" w:rsidR="00CD59F8" w:rsidRPr="00CD59F8" w:rsidRDefault="00CD59F8" w:rsidP="00CD59F8">
      <w:pPr>
        <w:spacing w:line="256" w:lineRule="auto"/>
        <w:jc w:val="both"/>
        <w:rPr>
          <w:rFonts w:ascii="Times New Roman" w:hAnsi="Times New Roman" w:cs="Times New Roman"/>
          <w:i/>
          <w:iCs/>
          <w:sz w:val="28"/>
          <w:szCs w:val="28"/>
          <w:lang w:val="kk-KZ"/>
        </w:rPr>
      </w:pPr>
      <w:r w:rsidRPr="00CD59F8">
        <w:rPr>
          <w:rFonts w:ascii="Times New Roman" w:hAnsi="Times New Roman" w:cs="Times New Roman"/>
          <w:i/>
          <w:iCs/>
          <w:sz w:val="28"/>
          <w:szCs w:val="28"/>
          <w:lang w:val="kk-KZ"/>
        </w:rPr>
        <w:t>аналогтық тасымалдаушылардан (мәтін, дыбыс, бейне) ақпаратты цифрлық форматқа (цифрландыру) аудару ғана емес, сонымен қатар цифрлық түрдегі жаңа өнімді бастапқы құру.</w:t>
      </w:r>
    </w:p>
    <w:p w14:paraId="767FE3D6"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Цифрландыру процесі мен цифрлық трансформация мемлекеттік басқару саласына белсенді түрде «басып» жатыр. Біздің ойымызша, бұл жерде цифрландыру – мемлекеттік органдардың қызметіне цифрлық технологияларды енгізу, мемлекеттік функцияларды жүзеге асыру және мемлекеттік қызметтерді көрсету саласында сапалы қайта құруларға мүмкіндік беретін, азаматтар мен мемлекеттің өзара тиімді әрекетін қамтамасыз ету процесі. Сонымен қатар, цифрлық трансформация нақты әлеуметтік маңыздылықтың басталуын болжайды</w:t>
      </w:r>
    </w:p>
    <w:p w14:paraId="235476BD"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мемлекеттік басқаруда цифрлық технологияларды қолданудың нәтижесі.</w:t>
      </w:r>
    </w:p>
    <w:p w14:paraId="7A5BFD02"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Цифрлық трансформацияның мақсаттары анықталды:</w:t>
      </w:r>
    </w:p>
    <w:p w14:paraId="36063974"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 xml:space="preserve"> а) азаматтардың мемлекеттік қызметтерге, оның ішінде цифрлық қызметтерге қанағаттануын арттыру және үкіметпен өзара әрекеттесу кезінде бизнес шығындарын азайту;</w:t>
      </w:r>
    </w:p>
    <w:p w14:paraId="27D6D735"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ә) мемлекеттік басқару, экономикалық секторлар мен әлеуметтік шығындарды азайту</w:t>
      </w:r>
    </w:p>
    <w:p w14:paraId="780ACB57"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шарлар;</w:t>
      </w:r>
    </w:p>
    <w:p w14:paraId="5127C68F"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б) кірістерді жинауды арттыру үшін жағдай жасау</w:t>
      </w:r>
    </w:p>
    <w:p w14:paraId="7DF942D3" w14:textId="77777777" w:rsidR="00CD59F8" w:rsidRPr="00CD59F8" w:rsidRDefault="00CD59F8" w:rsidP="00CD59F8">
      <w:pPr>
        <w:spacing w:line="256" w:lineRule="auto"/>
        <w:jc w:val="both"/>
        <w:rPr>
          <w:rFonts w:ascii="Times New Roman" w:hAnsi="Times New Roman" w:cs="Times New Roman"/>
          <w:sz w:val="28"/>
          <w:szCs w:val="28"/>
        </w:rPr>
      </w:pPr>
      <w:r w:rsidRPr="00CD59F8">
        <w:rPr>
          <w:rFonts w:ascii="Times New Roman" w:hAnsi="Times New Roman" w:cs="Times New Roman"/>
          <w:sz w:val="28"/>
          <w:szCs w:val="28"/>
          <w:lang w:val="kk-KZ"/>
        </w:rPr>
        <w:t>және цифрлық трансформация арқылы көлеңкелі экономиканы азайту;</w:t>
      </w:r>
    </w:p>
    <w:p w14:paraId="5E85818D"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в) ақпараттық жүйелердiң сенiмдiлiгi мен қауiпсiздiгiнiң деңгейiн, ақпараттық технологиялар инфрақұрылымының шетел мемлекеттерiнен шыққан жабдық пен бағдарламалық қамтамасыз етуден технологиялық тәуелсiздiгiн арттыру;</w:t>
      </w:r>
    </w:p>
    <w:p w14:paraId="42C7E373"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 xml:space="preserve">г) ақпараттық жүйелердің, ақпараттық және телекоммуникациялық инфрақұрылымның сенімділігі мен қауіпсіздігінің деңгейін қамтамасыз ету; е) </w:t>
      </w:r>
      <w:r w:rsidRPr="00CD59F8">
        <w:rPr>
          <w:rFonts w:ascii="Times New Roman" w:hAnsi="Times New Roman" w:cs="Times New Roman"/>
          <w:sz w:val="28"/>
          <w:szCs w:val="28"/>
          <w:lang w:val="kk-KZ"/>
        </w:rPr>
        <w:lastRenderedPageBreak/>
        <w:t>бақылау (қадағалау) қызметі шеңберінде кәсіпкерлік субъектілеріне шамадан тыс әкімшілік жүктемені жою</w:t>
      </w:r>
    </w:p>
    <w:p w14:paraId="096D9BD5"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Цифрландыру мемлекеттік басқару шешімдерінің түрі және негізі ретінде</w:t>
      </w:r>
    </w:p>
    <w:p w14:paraId="4CFFE0D1" w14:textId="77777777" w:rsidR="00CD59F8" w:rsidRPr="00CD59F8" w:rsidRDefault="00CD59F8" w:rsidP="00CD59F8">
      <w:pPr>
        <w:spacing w:line="256" w:lineRule="auto"/>
        <w:jc w:val="both"/>
        <w:rPr>
          <w:rFonts w:ascii="Times New Roman" w:hAnsi="Times New Roman" w:cs="Times New Roman"/>
          <w:sz w:val="28"/>
          <w:szCs w:val="28"/>
          <w:lang w:val="kk-KZ"/>
        </w:rPr>
      </w:pPr>
      <w:r w:rsidRPr="00CD59F8">
        <w:rPr>
          <w:rFonts w:ascii="Times New Roman" w:hAnsi="Times New Roman" w:cs="Times New Roman"/>
          <w:sz w:val="28"/>
          <w:szCs w:val="28"/>
          <w:lang w:val="kk-KZ"/>
        </w:rPr>
        <w:t>Цифрлық технологиялар, оларды енгізу, дамыту және кеңінен қолдану мемлекеттік басқарудағы елеулі қайта құрулардың катализаторы қызметін атқарады. Мемлекеттік органдар мен лауазымды тұлғалар қызметінің негізі болып табылатын мемлекеттік басқару шешімдерін қабылдау және іске асыру да өзгерістерге ұшырайды, бұл процесске цифрлық технологияларды біріктірумен байланысты. Сонымен қатар, мемлекеттік басқарудың барлық салаларында пайда болатын және айналатын және басқару шешімін қабылдау мен жүзеге асырудың әрбір сатысымен бірге жүретін ақпараттың орасан зор көлемі заманауи технологияларды пайдалануды сөзсіз талап етеді.</w:t>
      </w:r>
    </w:p>
    <w:bookmarkEnd w:id="0"/>
    <w:p w14:paraId="12B10676" w14:textId="77777777" w:rsidR="001632AF" w:rsidRDefault="001632AF">
      <w:pPr>
        <w:rPr>
          <w:lang w:val="kk-KZ"/>
        </w:rPr>
      </w:pPr>
    </w:p>
    <w:p w14:paraId="1C7FD270" w14:textId="77777777" w:rsidR="008C0A3E" w:rsidRDefault="008C0A3E">
      <w:pPr>
        <w:rPr>
          <w:lang w:val="kk-KZ"/>
        </w:rPr>
      </w:pPr>
    </w:p>
    <w:p w14:paraId="13D1F1FF" w14:textId="77777777" w:rsidR="008C0A3E" w:rsidRDefault="008C0A3E" w:rsidP="008C0A3E">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783D857F" w14:textId="77777777" w:rsidR="008C0A3E" w:rsidRDefault="008C0A3E" w:rsidP="008C0A3E">
      <w:pPr>
        <w:spacing w:line="252" w:lineRule="auto"/>
        <w:contextualSpacing/>
        <w:rPr>
          <w:rFonts w:ascii="Times New Roman" w:hAnsi="Times New Roman" w:cs="Times New Roman"/>
          <w:sz w:val="20"/>
          <w:szCs w:val="20"/>
          <w:lang w:val="kk-KZ"/>
        </w:rPr>
      </w:pPr>
    </w:p>
    <w:p w14:paraId="6B374C60" w14:textId="77777777" w:rsidR="008C0A3E" w:rsidRDefault="008C0A3E" w:rsidP="008C0A3E">
      <w:pPr>
        <w:spacing w:line="240" w:lineRule="auto"/>
        <w:contextualSpacing/>
        <w:rPr>
          <w:rFonts w:ascii="Times New Roman" w:hAnsi="Times New Roman" w:cs="Times New Roman"/>
          <w:sz w:val="20"/>
          <w:szCs w:val="20"/>
          <w:lang w:val="kk-KZ"/>
        </w:rPr>
      </w:pPr>
      <w:bookmarkStart w:id="1" w:name="_Hlk215925741"/>
      <w:r>
        <w:rPr>
          <w:rFonts w:ascii="Times New Roman" w:hAnsi="Times New Roman" w:cs="Times New Roman"/>
          <w:sz w:val="20"/>
          <w:szCs w:val="20"/>
          <w:lang w:val="kk-KZ"/>
        </w:rPr>
        <w:t>1</w:t>
      </w:r>
      <w:bookmarkStart w:id="2"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379E6CD" w14:textId="77777777" w:rsidR="008C0A3E" w:rsidRDefault="008C0A3E" w:rsidP="008C0A3E">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36981DEA" w14:textId="77777777" w:rsidR="008C0A3E" w:rsidRDefault="008C0A3E" w:rsidP="008C0A3E">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04C072E0" w14:textId="77777777" w:rsidR="008C0A3E" w:rsidRDefault="008C0A3E" w:rsidP="008C0A3E">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1"/>
    <w:bookmarkEnd w:id="2"/>
    <w:p w14:paraId="6603BF2F" w14:textId="77777777" w:rsidR="008C0A3E" w:rsidRDefault="008C0A3E" w:rsidP="008C0A3E">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38CA56AD" w14:textId="77777777" w:rsidR="008C0A3E" w:rsidRDefault="008C0A3E" w:rsidP="008C0A3E">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456BF434" w14:textId="77777777" w:rsidR="008C0A3E" w:rsidRDefault="008C0A3E" w:rsidP="008C0A3E">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5984420F" w14:textId="77777777" w:rsidR="008C0A3E" w:rsidRDefault="008C0A3E" w:rsidP="008C0A3E">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41E72B1E" w14:textId="77777777" w:rsidR="008C0A3E" w:rsidRDefault="008C0A3E" w:rsidP="008C0A3E">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5C6DE66D" w14:textId="77777777" w:rsidR="008C0A3E" w:rsidRDefault="008C0A3E" w:rsidP="008C0A3E">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7F2DDD34" w14:textId="77777777" w:rsidR="008C0A3E" w:rsidRDefault="008C0A3E" w:rsidP="008C0A3E">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1D8C0C87" w14:textId="77777777" w:rsidR="008C0A3E" w:rsidRDefault="008C0A3E" w:rsidP="008C0A3E">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20C95B9B" w14:textId="77777777" w:rsidR="008C0A3E" w:rsidRDefault="008C0A3E" w:rsidP="008C0A3E">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67CC0480" w14:textId="77777777" w:rsidR="008C0A3E" w:rsidRDefault="008C0A3E" w:rsidP="008C0A3E">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18D58F60" w14:textId="77777777" w:rsidR="008C0A3E" w:rsidRDefault="008C0A3E" w:rsidP="008C0A3E">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53EA066D" w14:textId="77777777" w:rsidR="008C0A3E" w:rsidRDefault="008C0A3E" w:rsidP="008C0A3E">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3"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3"/>
    </w:p>
    <w:p w14:paraId="54057869" w14:textId="77777777" w:rsidR="008C0A3E" w:rsidRDefault="008C0A3E" w:rsidP="008C0A3E">
      <w:pPr>
        <w:jc w:val="center"/>
        <w:rPr>
          <w:rFonts w:ascii="Times New Roman" w:hAnsi="Times New Roman" w:cs="Times New Roman"/>
          <w:b/>
          <w:bCs/>
          <w:sz w:val="24"/>
          <w:szCs w:val="24"/>
          <w:lang w:val="kk-KZ"/>
        </w:rPr>
      </w:pPr>
      <w:bookmarkStart w:id="4" w:name="_Hlk215925847"/>
      <w:r>
        <w:rPr>
          <w:rFonts w:ascii="Times New Roman" w:hAnsi="Times New Roman" w:cs="Times New Roman"/>
          <w:b/>
          <w:bCs/>
          <w:sz w:val="24"/>
          <w:szCs w:val="24"/>
          <w:lang w:val="kk-KZ"/>
        </w:rPr>
        <w:t>Қосымша әдебиеттер:</w:t>
      </w:r>
    </w:p>
    <w:p w14:paraId="70E934CD" w14:textId="77777777" w:rsidR="008C0A3E" w:rsidRDefault="008C0A3E" w:rsidP="008C0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3D9B8273" w14:textId="77777777" w:rsidR="008C0A3E" w:rsidRDefault="008C0A3E" w:rsidP="008C0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11E857DD" w14:textId="77777777" w:rsidR="008C0A3E" w:rsidRDefault="008C0A3E" w:rsidP="008C0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3. Стивен П. Роббинс, Тимати А. Джадж </w:t>
      </w:r>
    </w:p>
    <w:p w14:paraId="197F63D9" w14:textId="77777777" w:rsidR="008C0A3E" w:rsidRDefault="008C0A3E" w:rsidP="008C0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72635E7" w14:textId="77777777" w:rsidR="008C0A3E" w:rsidRDefault="008C0A3E" w:rsidP="008C0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1FEEAFFE" w14:textId="77777777" w:rsidR="008C0A3E" w:rsidRDefault="008C0A3E" w:rsidP="008C0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22E26B48" w14:textId="77777777" w:rsidR="008C0A3E" w:rsidRDefault="008C0A3E" w:rsidP="008C0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633A71FC" w14:textId="77777777" w:rsidR="008C0A3E" w:rsidRDefault="008C0A3E" w:rsidP="008C0A3E">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5433BFAA" w14:textId="77777777" w:rsidR="008C0A3E" w:rsidRDefault="008C0A3E" w:rsidP="008C0A3E">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604CC4E8" w14:textId="77777777" w:rsidR="008C0A3E" w:rsidRDefault="008C0A3E" w:rsidP="008C0A3E">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7C2AE48D" w14:textId="77777777" w:rsidR="008C0A3E" w:rsidRDefault="008C0A3E" w:rsidP="008C0A3E">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148EE11F" w14:textId="77777777" w:rsidR="008C0A3E" w:rsidRDefault="008C0A3E" w:rsidP="008C0A3E">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485F2B51" w14:textId="77777777" w:rsidR="008C0A3E" w:rsidRDefault="008C0A3E" w:rsidP="008C0A3E">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060DA017" w14:textId="77777777" w:rsidR="008C0A3E" w:rsidRDefault="008C0A3E" w:rsidP="008C0A3E">
      <w:pPr>
        <w:spacing w:after="0"/>
        <w:rPr>
          <w:rFonts w:ascii="Times New Roman" w:hAnsi="Times New Roman" w:cs="Times New Roman"/>
          <w:sz w:val="20"/>
          <w:szCs w:val="20"/>
          <w:lang w:val="kk-KZ"/>
        </w:rPr>
      </w:pPr>
    </w:p>
    <w:p w14:paraId="53C347C7" w14:textId="77777777" w:rsidR="008C0A3E" w:rsidRDefault="008C0A3E" w:rsidP="008C0A3E">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05A58AB1" w14:textId="77777777" w:rsidR="008C0A3E" w:rsidRDefault="008C0A3E" w:rsidP="008C0A3E">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3AC66345" w14:textId="77777777" w:rsidR="008C0A3E" w:rsidRDefault="008C0A3E" w:rsidP="008C0A3E">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4"/>
    </w:p>
    <w:p w14:paraId="67DB2608" w14:textId="77777777" w:rsidR="008C0A3E" w:rsidRDefault="008C0A3E" w:rsidP="008C0A3E">
      <w:pPr>
        <w:rPr>
          <w:lang w:val="kk-KZ"/>
        </w:rPr>
      </w:pPr>
    </w:p>
    <w:p w14:paraId="431DF957" w14:textId="77777777" w:rsidR="008C0A3E" w:rsidRPr="008C0A3E" w:rsidRDefault="008C0A3E">
      <w:pPr>
        <w:rPr>
          <w:lang w:val="kk-KZ"/>
        </w:rPr>
      </w:pPr>
    </w:p>
    <w:sectPr w:rsidR="008C0A3E" w:rsidRPr="008C0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927340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770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5628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6D"/>
    <w:rsid w:val="001632AF"/>
    <w:rsid w:val="00310446"/>
    <w:rsid w:val="003E6D87"/>
    <w:rsid w:val="0051516D"/>
    <w:rsid w:val="008C0A3E"/>
    <w:rsid w:val="00B5437F"/>
    <w:rsid w:val="00CD59F8"/>
    <w:rsid w:val="00E1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8181"/>
  <w15:chartTrackingRefBased/>
  <w15:docId w15:val="{B725DBFD-7E08-4B63-A155-47298406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A3E"/>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8C0A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2025-12-06T13:26:00Z</dcterms:created>
  <dcterms:modified xsi:type="dcterms:W3CDTF">2026-01-02T13:16:00Z</dcterms:modified>
</cp:coreProperties>
</file>